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color w:val="000000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Jefatura de Policía.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886175" cy="58861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25775" y="3510200"/>
                          <a:ext cx="5886175" cy="588618"/>
                          <a:chOff x="1825775" y="3510200"/>
                          <a:chExt cx="5886200" cy="539750"/>
                        </a:xfrm>
                      </wpg:grpSpPr>
                      <wpg:grpSp>
                        <wpg:cNvGrpSpPr/>
                        <wpg:grpSpPr>
                          <a:xfrm>
                            <a:off x="1825788" y="3510200"/>
                            <a:ext cx="5886188" cy="539750"/>
                            <a:chOff x="2402900" y="3510125"/>
                            <a:chExt cx="5886188" cy="539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00" y="3510125"/>
                              <a:ext cx="58861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25"/>
                              <a:ext cx="5886175" cy="539750"/>
                              <a:chOff x="2311653" y="3594580"/>
                              <a:chExt cx="6068695" cy="40128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68695" cy="401289"/>
                                <a:chOff x="0" y="0"/>
                                <a:chExt cx="6068695" cy="40128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600" y="42489"/>
                                  <a:ext cx="5988051" cy="3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60" w:line="240"/>
                                      <w:ind w:left="27.000000476837158" w:right="0" w:firstLine="54.000000953674316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Jornada sobre policía de aproximación vecinal nivel I para F.B.A.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886175" cy="588618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175" cy="588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m6hz4e1e84tw" w:id="1"/>
      <w:bookmarkEnd w:id="1"/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Dirección Fuerza B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arrial de Aproximación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F.B.A. propone un plan formativo para el personal policial con la finalidad de brindar herramientas necesarias para actuar de manera adecuada y conforme a derecho. Fundamentalmente, la capacitación cuenta con una nueva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perspectiva de la policía y el vínculo con la comunidad reformulando las tácticas policiales orientadas al desarrollo de las habilidades blandas y oportunidades de mentoría. Esta interrelación de conocimientos enriquece su capacidad de análisis y reflexión, lo que les ayuda a tomar decisiones más informadas y efectivas. Además, comprender el contexto social y cultural en el que operan les permite abordar los problemas de manera más holística, considerando factores que pueden influir en el comportamiento de las personas y en la dinámica de la comunidad.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-142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policial perteneciente a la Dirección de Fuerza Barrial de Aproximación y Comisarios.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horas reloj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4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tentativa de inicio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 de marzo 2025 al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 junio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25 asistentes.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h5s5tr8ldvdu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011-36309804.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divisioncapacitacionfba@gmail.com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apacitacionfb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68dlIFobWaaAARfKHLCMGrJhg==">CgMxLjAyDmguMzhrOHlpbnpiMzE2Mg5oLm02aHo0ZTFlODR0dzIOaC5oNXM1dHI4bGR2ZHU4AHIhMVJ1eUxKemFSaGJvdURTakZlMUZCNXVWNHF0M0tvM25J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2025-05-05T18:35:00Z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